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AF82" w14:textId="5309A6E4" w:rsidR="0091129C" w:rsidRPr="00B73105" w:rsidRDefault="0091129C">
      <w:pPr>
        <w:rPr>
          <w:rFonts w:ascii="RAD Sans Book" w:hAnsi="RAD Sans Book"/>
        </w:rPr>
        <w:sectPr w:rsidR="0091129C" w:rsidRPr="00B73105" w:rsidSect="003C2513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1134" w:footer="680" w:gutter="0"/>
          <w:cols w:space="708"/>
          <w:titlePg/>
          <w:docGrid w:linePitch="360"/>
        </w:sectPr>
      </w:pPr>
    </w:p>
    <w:p w14:paraId="29931A99" w14:textId="77777777" w:rsidR="00020B77" w:rsidRPr="00DB69D1" w:rsidRDefault="00020B77" w:rsidP="009A0BCB">
      <w:pPr>
        <w:pStyle w:val="Heading2"/>
        <w:jc w:val="center"/>
      </w:pPr>
      <w:r w:rsidRPr="00DB69D1">
        <w:t>Reasonable Adjustments vs Examiner Awareness Examples</w:t>
      </w:r>
    </w:p>
    <w:p w14:paraId="6F1E9D36" w14:textId="77777777" w:rsidR="009A0BCB" w:rsidRDefault="009A0BCB" w:rsidP="00020B77">
      <w:pPr>
        <w:rPr>
          <w:rFonts w:ascii="Montserrat" w:hAnsi="Montserrat"/>
        </w:rPr>
      </w:pPr>
    </w:p>
    <w:p w14:paraId="0B70348E" w14:textId="5FB08C2E" w:rsidR="00020B77" w:rsidRPr="00020B77" w:rsidRDefault="00020B77" w:rsidP="00020B77">
      <w:pPr>
        <w:rPr>
          <w:rFonts w:ascii="Montserrat" w:hAnsi="Montserrat"/>
        </w:rPr>
      </w:pPr>
      <w:r w:rsidRPr="00020B77">
        <w:rPr>
          <w:rFonts w:ascii="Montserrat" w:hAnsi="Montserrat"/>
        </w:rPr>
        <w:t xml:space="preserve">This document outlines examples of when information should simply be shared with the examiner (for awareness only), versus when a formal </w:t>
      </w:r>
      <w:r w:rsidR="00557919">
        <w:rPr>
          <w:rFonts w:ascii="Montserrat" w:hAnsi="Montserrat"/>
        </w:rPr>
        <w:t>r</w:t>
      </w:r>
      <w:r w:rsidRPr="00020B77">
        <w:rPr>
          <w:rFonts w:ascii="Montserrat" w:hAnsi="Montserrat"/>
        </w:rPr>
        <w:t xml:space="preserve">easonable </w:t>
      </w:r>
      <w:r w:rsidR="00557919">
        <w:rPr>
          <w:rFonts w:ascii="Montserrat" w:hAnsi="Montserrat"/>
        </w:rPr>
        <w:t>a</w:t>
      </w:r>
      <w:r w:rsidRPr="00020B77">
        <w:rPr>
          <w:rFonts w:ascii="Montserrat" w:hAnsi="Montserrat"/>
        </w:rPr>
        <w:t xml:space="preserve">djustment request should be submitted. If you're unsure, please contact </w:t>
      </w:r>
      <w:hyperlink r:id="rId14" w:history="1">
        <w:r w:rsidR="00064CD9" w:rsidRPr="00DA0983">
          <w:rPr>
            <w:rStyle w:val="Hyperlink"/>
            <w:rFonts w:ascii="Montserrat" w:hAnsi="Montserrat"/>
          </w:rPr>
          <w:t>examscustomerservices@rad.org.uk</w:t>
        </w:r>
      </w:hyperlink>
      <w:r w:rsidR="00064CD9">
        <w:rPr>
          <w:rFonts w:ascii="Montserrat" w:hAnsi="Montserrat"/>
        </w:rPr>
        <w:t xml:space="preserve"> </w:t>
      </w:r>
      <w:r w:rsidRPr="00020B77">
        <w:rPr>
          <w:rFonts w:ascii="Montserrat" w:hAnsi="Montserrat"/>
        </w:rPr>
        <w:t>for advice.</w:t>
      </w:r>
    </w:p>
    <w:p w14:paraId="0E93D114" w14:textId="77777777" w:rsidR="009A0BCB" w:rsidRDefault="009A0BCB" w:rsidP="00020B77">
      <w:pPr>
        <w:rPr>
          <w:rFonts w:ascii="Montserrat" w:hAnsi="Montserrat"/>
          <w:b/>
          <w:bCs/>
        </w:rPr>
      </w:pPr>
    </w:p>
    <w:p w14:paraId="6A9CDE4F" w14:textId="00144F82" w:rsidR="00020B77" w:rsidRPr="00020B77" w:rsidRDefault="00020B77" w:rsidP="00020B77">
      <w:pPr>
        <w:rPr>
          <w:rFonts w:ascii="Montserrat" w:hAnsi="Montserrat"/>
        </w:rPr>
      </w:pPr>
      <w:r w:rsidRPr="00020B77">
        <w:rPr>
          <w:rFonts w:ascii="Montserrat" w:hAnsi="Montserrat"/>
          <w:b/>
          <w:bCs/>
        </w:rPr>
        <w:t>A Reasonable Adjustment</w:t>
      </w:r>
      <w:r w:rsidRPr="00020B77">
        <w:rPr>
          <w:rFonts w:ascii="Montserrat" w:hAnsi="Montserrat"/>
        </w:rPr>
        <w:t xml:space="preserve"> is a formal request made in advance of an </w:t>
      </w:r>
      <w:r w:rsidR="00690EC1">
        <w:rPr>
          <w:rFonts w:ascii="Montserrat" w:hAnsi="Montserrat"/>
        </w:rPr>
        <w:t>assessment</w:t>
      </w:r>
      <w:r w:rsidRPr="00020B77">
        <w:rPr>
          <w:rFonts w:ascii="Montserrat" w:hAnsi="Montserrat"/>
        </w:rPr>
        <w:t xml:space="preserve"> to help a candidate access the assessment on fair and equal terms. These adjustments often involve changes to the </w:t>
      </w:r>
      <w:r w:rsidR="005004DE">
        <w:rPr>
          <w:rFonts w:ascii="Montserrat" w:hAnsi="Montserrat"/>
        </w:rPr>
        <w:t>assessment</w:t>
      </w:r>
      <w:r w:rsidRPr="00020B77">
        <w:rPr>
          <w:rFonts w:ascii="Montserrat" w:hAnsi="Montserrat"/>
        </w:rPr>
        <w:t xml:space="preserve"> process—such as extra time, assistance from an exam attendant, or a buddy in the studio—and must be approved by </w:t>
      </w:r>
      <w:r w:rsidR="00557919">
        <w:rPr>
          <w:rFonts w:ascii="Montserrat" w:hAnsi="Montserrat"/>
        </w:rPr>
        <w:t xml:space="preserve">the </w:t>
      </w:r>
      <w:r w:rsidRPr="00020B77">
        <w:rPr>
          <w:rFonts w:ascii="Montserrat" w:hAnsi="Montserrat"/>
        </w:rPr>
        <w:t xml:space="preserve">RAD before the </w:t>
      </w:r>
      <w:r w:rsidR="005004DE">
        <w:rPr>
          <w:rFonts w:ascii="Montserrat" w:hAnsi="Montserrat"/>
        </w:rPr>
        <w:t>assessment</w:t>
      </w:r>
      <w:r w:rsidRPr="00020B77">
        <w:rPr>
          <w:rFonts w:ascii="Montserrat" w:hAnsi="Montserrat"/>
        </w:rPr>
        <w:t xml:space="preserve"> day.</w:t>
      </w:r>
    </w:p>
    <w:p w14:paraId="4FFF16ED" w14:textId="77777777" w:rsidR="005E7969" w:rsidRDefault="005E7969" w:rsidP="00020B77">
      <w:pPr>
        <w:rPr>
          <w:rFonts w:ascii="Montserrat" w:hAnsi="Montserrat"/>
          <w:b/>
          <w:bCs/>
        </w:rPr>
      </w:pPr>
    </w:p>
    <w:p w14:paraId="49DE5D88" w14:textId="057A01D4" w:rsidR="00020B77" w:rsidRDefault="00020B77" w:rsidP="00020B77">
      <w:pPr>
        <w:rPr>
          <w:rFonts w:ascii="Montserrat" w:hAnsi="Montserrat"/>
        </w:rPr>
      </w:pPr>
      <w:r w:rsidRPr="00020B77">
        <w:rPr>
          <w:rFonts w:ascii="Montserrat" w:hAnsi="Montserrat"/>
          <w:b/>
          <w:bCs/>
        </w:rPr>
        <w:t>Examiner Awareness</w:t>
      </w:r>
      <w:r w:rsidRPr="00020B77">
        <w:rPr>
          <w:rFonts w:ascii="Montserrat" w:hAnsi="Montserrat"/>
        </w:rPr>
        <w:t xml:space="preserve">, on the other hand, is used to inform the examiner of a candidate’s condition or context that does </w:t>
      </w:r>
      <w:r w:rsidRPr="00020B77">
        <w:rPr>
          <w:rFonts w:ascii="Montserrat" w:hAnsi="Montserrat"/>
          <w:b/>
          <w:bCs/>
        </w:rPr>
        <w:t>not require a change</w:t>
      </w:r>
      <w:r w:rsidRPr="00020B77">
        <w:rPr>
          <w:rFonts w:ascii="Montserrat" w:hAnsi="Montserrat"/>
        </w:rPr>
        <w:t xml:space="preserve"> to the way the </w:t>
      </w:r>
      <w:r w:rsidR="00C92B98">
        <w:rPr>
          <w:rFonts w:ascii="Montserrat" w:hAnsi="Montserrat"/>
        </w:rPr>
        <w:t>assessment</w:t>
      </w:r>
      <w:r w:rsidRPr="00020B77">
        <w:rPr>
          <w:rFonts w:ascii="Montserrat" w:hAnsi="Montserrat"/>
        </w:rPr>
        <w:t xml:space="preserve"> is conducted. This might include medical background (e.g. injury), emotional circumstances (e.g. bereavement), or minor considerations (e.g. a hearing aid or anxiety). These are shared to support understanding and sensitivity, but don’t alter the assessment conditions.</w:t>
      </w:r>
    </w:p>
    <w:p w14:paraId="4A0D0C13" w14:textId="77777777" w:rsidR="00107CEA" w:rsidRDefault="00107CEA" w:rsidP="00020B77">
      <w:pPr>
        <w:rPr>
          <w:rFonts w:ascii="Montserrat" w:hAnsi="Montserrat"/>
        </w:rPr>
      </w:pPr>
    </w:p>
    <w:p w14:paraId="5AD7A3BB" w14:textId="73ED2696" w:rsidR="00EF560A" w:rsidRDefault="00107CEA" w:rsidP="00020B77">
      <w:r w:rsidRPr="00107CEA">
        <w:rPr>
          <w:rFonts w:ascii="Montserrat" w:hAnsi="Montserrat"/>
        </w:rPr>
        <w:t xml:space="preserve">Both </w:t>
      </w:r>
      <w:r>
        <w:rPr>
          <w:rFonts w:ascii="Montserrat" w:hAnsi="Montserrat"/>
        </w:rPr>
        <w:t xml:space="preserve">reasonable adjustment application and examiner awareness request </w:t>
      </w:r>
      <w:r w:rsidRPr="00107CEA">
        <w:rPr>
          <w:rFonts w:ascii="Montserrat" w:hAnsi="Montserrat"/>
        </w:rPr>
        <w:t xml:space="preserve">forms should be submitted through the RAD Online Exam Entry. </w:t>
      </w:r>
      <w:r w:rsidR="00EF560A" w:rsidRPr="00010B25">
        <w:rPr>
          <w:rFonts w:ascii="Montserrat" w:hAnsi="Montserrat"/>
        </w:rPr>
        <w:t>Full information about reasonable adjustment</w:t>
      </w:r>
      <w:r w:rsidR="005E243A" w:rsidRPr="00010B25">
        <w:rPr>
          <w:rFonts w:ascii="Montserrat" w:hAnsi="Montserrat"/>
        </w:rPr>
        <w:t xml:space="preserve">s </w:t>
      </w:r>
      <w:r w:rsidR="00734169">
        <w:rPr>
          <w:rFonts w:ascii="Montserrat" w:hAnsi="Montserrat"/>
        </w:rPr>
        <w:t xml:space="preserve">and examiner awareness </w:t>
      </w:r>
      <w:r w:rsidR="005E243A" w:rsidRPr="00010B25">
        <w:rPr>
          <w:rFonts w:ascii="Montserrat" w:hAnsi="Montserrat"/>
        </w:rPr>
        <w:t xml:space="preserve">can be found in the </w:t>
      </w:r>
      <w:hyperlink r:id="rId15" w:tgtFrame="_blank" w:tooltip="20230403 reasonable adjustments and special considerations policy" w:history="1">
        <w:r w:rsidR="005E243A" w:rsidRPr="00E31779">
          <w:rPr>
            <w:rStyle w:val="Hyperlink"/>
            <w:rFonts w:ascii="Montserrat" w:hAnsi="Montserrat"/>
          </w:rPr>
          <w:t xml:space="preserve">Reasonable </w:t>
        </w:r>
        <w:r w:rsidR="00557919" w:rsidRPr="00E31779">
          <w:rPr>
            <w:rStyle w:val="Hyperlink"/>
            <w:rFonts w:ascii="Montserrat" w:hAnsi="Montserrat"/>
          </w:rPr>
          <w:t>A</w:t>
        </w:r>
        <w:r w:rsidR="005E243A" w:rsidRPr="00E31779">
          <w:rPr>
            <w:rStyle w:val="Hyperlink"/>
            <w:rFonts w:ascii="Montserrat" w:hAnsi="Montserrat"/>
          </w:rPr>
          <w:t>djustments polic</w:t>
        </w:r>
        <w:r w:rsidR="00557919" w:rsidRPr="00E31779">
          <w:rPr>
            <w:rStyle w:val="Hyperlink"/>
            <w:rFonts w:ascii="Montserrat" w:hAnsi="Montserrat"/>
          </w:rPr>
          <w:t>y and procedure</w:t>
        </w:r>
        <w:r w:rsidR="00734169" w:rsidRPr="00E31779">
          <w:rPr>
            <w:rStyle w:val="Hyperlink"/>
          </w:rPr>
          <w:t>.</w:t>
        </w:r>
      </w:hyperlink>
    </w:p>
    <w:p w14:paraId="117FA0DD" w14:textId="77777777" w:rsidR="007B5D98" w:rsidRPr="00DA0983" w:rsidRDefault="007B5D98" w:rsidP="00020B77">
      <w:pPr>
        <w:rPr>
          <w:rFonts w:ascii="Montserrat" w:hAnsi="Montserrat"/>
        </w:rPr>
      </w:pPr>
    </w:p>
    <w:p w14:paraId="72B6F4E2" w14:textId="77777777" w:rsidR="00020B77" w:rsidRPr="00020B77" w:rsidRDefault="00020B77" w:rsidP="00020B77">
      <w:pPr>
        <w:pStyle w:val="Heading2"/>
        <w:rPr>
          <w:rFonts w:ascii="Montserrat" w:hAnsi="Montserrat"/>
          <w:sz w:val="22"/>
          <w:szCs w:val="22"/>
        </w:rPr>
      </w:pPr>
      <w:r w:rsidRPr="00020B77">
        <w:rPr>
          <w:rFonts w:ascii="Montserrat" w:hAnsi="Montserrat"/>
          <w:sz w:val="22"/>
          <w:szCs w:val="22"/>
        </w:rPr>
        <w:t>Medical Conditions</w:t>
      </w:r>
    </w:p>
    <w:tbl>
      <w:tblPr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5118"/>
      </w:tblGrid>
      <w:tr w:rsidR="00020B77" w:rsidRPr="00020B77" w14:paraId="5EE52F35" w14:textId="77777777" w:rsidTr="00DE581B">
        <w:trPr>
          <w:trHeight w:val="265"/>
        </w:trPr>
        <w:tc>
          <w:tcPr>
            <w:tcW w:w="5118" w:type="dxa"/>
          </w:tcPr>
          <w:p w14:paraId="6FDD7111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Condition / Example</w:t>
            </w:r>
          </w:p>
        </w:tc>
        <w:tc>
          <w:tcPr>
            <w:tcW w:w="5118" w:type="dxa"/>
          </w:tcPr>
          <w:p w14:paraId="1D4799D5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Classification</w:t>
            </w:r>
          </w:p>
        </w:tc>
      </w:tr>
      <w:tr w:rsidR="00020B77" w:rsidRPr="00020B77" w14:paraId="762FEA4E" w14:textId="77777777" w:rsidTr="00DE581B">
        <w:trPr>
          <w:trHeight w:val="522"/>
        </w:trPr>
        <w:tc>
          <w:tcPr>
            <w:tcW w:w="5118" w:type="dxa"/>
          </w:tcPr>
          <w:p w14:paraId="1950F240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Asthma – Use of inhaler during exam (initiated by candidate)</w:t>
            </w:r>
          </w:p>
        </w:tc>
        <w:tc>
          <w:tcPr>
            <w:tcW w:w="5118" w:type="dxa"/>
          </w:tcPr>
          <w:p w14:paraId="516A4D9A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Examiner Awareness</w:t>
            </w:r>
          </w:p>
        </w:tc>
      </w:tr>
      <w:tr w:rsidR="00020B77" w:rsidRPr="00020B77" w14:paraId="501A5EED" w14:textId="77777777" w:rsidTr="00DE581B">
        <w:trPr>
          <w:trHeight w:val="532"/>
        </w:trPr>
        <w:tc>
          <w:tcPr>
            <w:tcW w:w="5118" w:type="dxa"/>
          </w:tcPr>
          <w:p w14:paraId="273C989D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Diabetes – May require breaks to check sugar levels or take insulin</w:t>
            </w:r>
          </w:p>
        </w:tc>
        <w:tc>
          <w:tcPr>
            <w:tcW w:w="5118" w:type="dxa"/>
          </w:tcPr>
          <w:p w14:paraId="5AB796A0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53E10081" w14:textId="77777777" w:rsidTr="00DE581B">
        <w:trPr>
          <w:trHeight w:val="532"/>
        </w:trPr>
        <w:tc>
          <w:tcPr>
            <w:tcW w:w="5118" w:type="dxa"/>
          </w:tcPr>
          <w:p w14:paraId="1EB88C08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POTS disease – May require a chair or additional breaks</w:t>
            </w:r>
          </w:p>
        </w:tc>
        <w:tc>
          <w:tcPr>
            <w:tcW w:w="5118" w:type="dxa"/>
          </w:tcPr>
          <w:p w14:paraId="28E0D1E5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77569429" w14:textId="77777777" w:rsidTr="00DE581B">
        <w:trPr>
          <w:trHeight w:val="265"/>
        </w:trPr>
        <w:tc>
          <w:tcPr>
            <w:tcW w:w="5118" w:type="dxa"/>
          </w:tcPr>
          <w:p w14:paraId="79DD252F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Pregnancy – May require breaks</w:t>
            </w:r>
          </w:p>
        </w:tc>
        <w:tc>
          <w:tcPr>
            <w:tcW w:w="5118" w:type="dxa"/>
          </w:tcPr>
          <w:p w14:paraId="33E8717D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</w:tbl>
    <w:p w14:paraId="4F7EDB3C" w14:textId="684AF581" w:rsidR="00020B77" w:rsidRPr="00020B77" w:rsidRDefault="00020B77" w:rsidP="00020B77">
      <w:pPr>
        <w:pStyle w:val="Heading2"/>
        <w:rPr>
          <w:rFonts w:ascii="Montserrat" w:hAnsi="Montserrat"/>
          <w:sz w:val="22"/>
          <w:szCs w:val="22"/>
        </w:rPr>
      </w:pPr>
      <w:r w:rsidRPr="00020B77">
        <w:rPr>
          <w:rFonts w:ascii="Montserrat" w:hAnsi="Montserrat"/>
          <w:sz w:val="22"/>
          <w:szCs w:val="22"/>
        </w:rPr>
        <w:t>Mental Health / Emotional Circumstances</w:t>
      </w:r>
    </w:p>
    <w:tbl>
      <w:tblPr>
        <w:tblW w:w="10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</w:tblGrid>
      <w:tr w:rsidR="00020B77" w:rsidRPr="00020B77" w14:paraId="4FC52F5B" w14:textId="77777777" w:rsidTr="00DE581B">
        <w:trPr>
          <w:trHeight w:val="265"/>
        </w:trPr>
        <w:tc>
          <w:tcPr>
            <w:tcW w:w="5129" w:type="dxa"/>
          </w:tcPr>
          <w:p w14:paraId="50AD6DD4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Condition / Example</w:t>
            </w:r>
          </w:p>
        </w:tc>
        <w:tc>
          <w:tcPr>
            <w:tcW w:w="5129" w:type="dxa"/>
          </w:tcPr>
          <w:p w14:paraId="285B4079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Classification</w:t>
            </w:r>
          </w:p>
        </w:tc>
      </w:tr>
      <w:tr w:rsidR="00020B77" w:rsidRPr="00020B77" w14:paraId="3166C4ED" w14:textId="77777777" w:rsidTr="00DE581B">
        <w:trPr>
          <w:trHeight w:val="521"/>
        </w:trPr>
        <w:tc>
          <w:tcPr>
            <w:tcW w:w="5129" w:type="dxa"/>
          </w:tcPr>
          <w:p w14:paraId="5AB6A83F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Anxiety – Candidate may benefit from breaks or support</w:t>
            </w:r>
          </w:p>
        </w:tc>
        <w:tc>
          <w:tcPr>
            <w:tcW w:w="5129" w:type="dxa"/>
          </w:tcPr>
          <w:p w14:paraId="2C617232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08330588" w14:textId="77777777" w:rsidTr="00DE581B">
        <w:trPr>
          <w:trHeight w:val="531"/>
        </w:trPr>
        <w:tc>
          <w:tcPr>
            <w:tcW w:w="5129" w:type="dxa"/>
          </w:tcPr>
          <w:p w14:paraId="4E9D8CFE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Family trauma – Examiner awareness may help with context</w:t>
            </w:r>
          </w:p>
        </w:tc>
        <w:tc>
          <w:tcPr>
            <w:tcW w:w="5129" w:type="dxa"/>
          </w:tcPr>
          <w:p w14:paraId="0D36BE66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Examiner Awareness</w:t>
            </w:r>
          </w:p>
        </w:tc>
      </w:tr>
      <w:tr w:rsidR="00020B77" w:rsidRPr="00020B77" w14:paraId="532B105E" w14:textId="77777777" w:rsidTr="00DE581B">
        <w:trPr>
          <w:trHeight w:val="531"/>
        </w:trPr>
        <w:tc>
          <w:tcPr>
            <w:tcW w:w="5129" w:type="dxa"/>
          </w:tcPr>
          <w:p w14:paraId="2867E7E8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Debilitating anxiety – Breaks and/or additional support</w:t>
            </w:r>
          </w:p>
        </w:tc>
        <w:tc>
          <w:tcPr>
            <w:tcW w:w="5129" w:type="dxa"/>
          </w:tcPr>
          <w:p w14:paraId="35387D48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</w:tbl>
    <w:p w14:paraId="7E11B8ED" w14:textId="77777777" w:rsidR="00D448AE" w:rsidRDefault="00D448AE" w:rsidP="00020B77">
      <w:pPr>
        <w:pStyle w:val="Heading2"/>
        <w:rPr>
          <w:rFonts w:ascii="Montserrat" w:hAnsi="Montserrat"/>
          <w:sz w:val="22"/>
          <w:szCs w:val="22"/>
        </w:rPr>
      </w:pPr>
    </w:p>
    <w:p w14:paraId="361FBE7D" w14:textId="59251133" w:rsidR="00020B77" w:rsidRPr="00020B77" w:rsidRDefault="00020B77" w:rsidP="00020B77">
      <w:pPr>
        <w:pStyle w:val="Heading2"/>
        <w:rPr>
          <w:rFonts w:ascii="Montserrat" w:hAnsi="Montserrat"/>
          <w:sz w:val="22"/>
          <w:szCs w:val="22"/>
        </w:rPr>
      </w:pPr>
      <w:r w:rsidRPr="00020B77">
        <w:rPr>
          <w:rFonts w:ascii="Montserrat" w:hAnsi="Montserrat"/>
          <w:sz w:val="22"/>
          <w:szCs w:val="22"/>
        </w:rPr>
        <w:t>Neurodiversity / Learning Differences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4"/>
        <w:gridCol w:w="5054"/>
      </w:tblGrid>
      <w:tr w:rsidR="00020B77" w:rsidRPr="00020B77" w14:paraId="0A5A5F91" w14:textId="77777777" w:rsidTr="00DE581B">
        <w:trPr>
          <w:trHeight w:val="285"/>
        </w:trPr>
        <w:tc>
          <w:tcPr>
            <w:tcW w:w="5054" w:type="dxa"/>
          </w:tcPr>
          <w:p w14:paraId="7ADBA12A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Condition / Example</w:t>
            </w:r>
          </w:p>
        </w:tc>
        <w:tc>
          <w:tcPr>
            <w:tcW w:w="5054" w:type="dxa"/>
          </w:tcPr>
          <w:p w14:paraId="56C2CDB4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Classification</w:t>
            </w:r>
          </w:p>
        </w:tc>
      </w:tr>
      <w:tr w:rsidR="00020B77" w:rsidRPr="00020B77" w14:paraId="0108A512" w14:textId="77777777" w:rsidTr="00DE581B">
        <w:trPr>
          <w:trHeight w:val="560"/>
        </w:trPr>
        <w:tc>
          <w:tcPr>
            <w:tcW w:w="5054" w:type="dxa"/>
          </w:tcPr>
          <w:p w14:paraId="4810E3BD" w14:textId="73B73119" w:rsidR="00020B77" w:rsidRPr="00010B25" w:rsidRDefault="00020B77" w:rsidP="00E433B5">
            <w:pPr>
              <w:rPr>
                <w:rFonts w:ascii="Montserrat" w:hAnsi="Montserrat"/>
              </w:rPr>
            </w:pPr>
            <w:r w:rsidRPr="00010B25">
              <w:rPr>
                <w:rFonts w:ascii="Montserrat" w:hAnsi="Montserrat"/>
              </w:rPr>
              <w:t>ADHD, ASD, Dyslexia, Tourette’s etc. – May need repetition of instructions</w:t>
            </w:r>
            <w:r w:rsidR="00E03C36" w:rsidRPr="00010B25">
              <w:rPr>
                <w:rFonts w:ascii="Montserrat" w:hAnsi="Montserrat"/>
              </w:rPr>
              <w:t xml:space="preserve">, </w:t>
            </w:r>
            <w:r w:rsidR="002212DB" w:rsidRPr="00010B25">
              <w:rPr>
                <w:rFonts w:ascii="Montserrat" w:hAnsi="Montserrat"/>
              </w:rPr>
              <w:t xml:space="preserve">buddy, </w:t>
            </w:r>
            <w:r w:rsidR="00E03C36" w:rsidRPr="00010B25">
              <w:rPr>
                <w:rFonts w:ascii="Montserrat" w:hAnsi="Montserrat"/>
              </w:rPr>
              <w:t>breaks and/or additional support</w:t>
            </w:r>
          </w:p>
        </w:tc>
        <w:tc>
          <w:tcPr>
            <w:tcW w:w="5054" w:type="dxa"/>
          </w:tcPr>
          <w:p w14:paraId="4AFDADFD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5B5D50" w:rsidRPr="00020B77" w14:paraId="6E17E60A" w14:textId="77777777" w:rsidTr="00DE581B">
        <w:trPr>
          <w:trHeight w:val="560"/>
        </w:trPr>
        <w:tc>
          <w:tcPr>
            <w:tcW w:w="5054" w:type="dxa"/>
          </w:tcPr>
          <w:p w14:paraId="145907D0" w14:textId="433BAA7E" w:rsidR="005B5D50" w:rsidRPr="00010B25" w:rsidRDefault="005B5D50" w:rsidP="00E433B5">
            <w:pPr>
              <w:rPr>
                <w:rFonts w:ascii="Montserrat" w:hAnsi="Montserrat"/>
              </w:rPr>
            </w:pPr>
            <w:r w:rsidRPr="00010B25">
              <w:rPr>
                <w:rFonts w:ascii="Montserrat" w:hAnsi="Montserrat"/>
              </w:rPr>
              <w:t>ADHD, ASD, Dyslexia, Tourette’s etc.</w:t>
            </w:r>
            <w:r w:rsidR="00C73110" w:rsidRPr="00010B25">
              <w:rPr>
                <w:rFonts w:ascii="Montserrat" w:hAnsi="Montserrat"/>
              </w:rPr>
              <w:t xml:space="preserve"> –</w:t>
            </w:r>
            <w:r w:rsidR="0040126E" w:rsidRPr="00010B25">
              <w:rPr>
                <w:rFonts w:ascii="Montserrat" w:hAnsi="Montserrat"/>
              </w:rPr>
              <w:t>A</w:t>
            </w:r>
            <w:r w:rsidR="001D7688" w:rsidRPr="00010B25">
              <w:rPr>
                <w:rFonts w:ascii="Montserrat" w:hAnsi="Montserrat"/>
              </w:rPr>
              <w:t xml:space="preserve">djustment </w:t>
            </w:r>
            <w:r w:rsidR="0040126E" w:rsidRPr="00010B25">
              <w:rPr>
                <w:rFonts w:ascii="Montserrat" w:hAnsi="Montserrat"/>
              </w:rPr>
              <w:t xml:space="preserve">is not </w:t>
            </w:r>
            <w:r w:rsidR="001D7688" w:rsidRPr="00010B25">
              <w:rPr>
                <w:rFonts w:ascii="Montserrat" w:hAnsi="Montserrat"/>
              </w:rPr>
              <w:t>required, but examiner awareness may help with context</w:t>
            </w:r>
          </w:p>
        </w:tc>
        <w:tc>
          <w:tcPr>
            <w:tcW w:w="5054" w:type="dxa"/>
          </w:tcPr>
          <w:p w14:paraId="368D8444" w14:textId="3C5238AF" w:rsidR="005B5D50" w:rsidRPr="00020B77" w:rsidRDefault="005B5D50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Examiner Awareness</w:t>
            </w:r>
          </w:p>
        </w:tc>
      </w:tr>
      <w:tr w:rsidR="00020B77" w:rsidRPr="00020B77" w14:paraId="36251D52" w14:textId="77777777" w:rsidTr="00DE581B">
        <w:trPr>
          <w:trHeight w:val="571"/>
        </w:trPr>
        <w:tc>
          <w:tcPr>
            <w:tcW w:w="5054" w:type="dxa"/>
          </w:tcPr>
          <w:p w14:paraId="43B15511" w14:textId="0E3D4CF3" w:rsidR="00020B77" w:rsidRPr="00020B77" w:rsidRDefault="00772582" w:rsidP="00E433B5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M</w:t>
            </w:r>
            <w:r w:rsidR="00020B77" w:rsidRPr="00020B77">
              <w:rPr>
                <w:rFonts w:ascii="Montserrat" w:hAnsi="Montserrat"/>
              </w:rPr>
              <w:t>utism – Another candidate may confirm name</w:t>
            </w:r>
          </w:p>
        </w:tc>
        <w:tc>
          <w:tcPr>
            <w:tcW w:w="5054" w:type="dxa"/>
          </w:tcPr>
          <w:p w14:paraId="0519497E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Examiner Awareness</w:t>
            </w:r>
          </w:p>
        </w:tc>
      </w:tr>
    </w:tbl>
    <w:p w14:paraId="48E2B59F" w14:textId="46670483" w:rsidR="00020B77" w:rsidRPr="00020B77" w:rsidRDefault="00020B77" w:rsidP="00020B77">
      <w:pPr>
        <w:pStyle w:val="Heading2"/>
        <w:rPr>
          <w:rFonts w:ascii="Montserrat" w:hAnsi="Montserrat"/>
          <w:sz w:val="22"/>
          <w:szCs w:val="22"/>
        </w:rPr>
      </w:pPr>
      <w:r w:rsidRPr="00020B77">
        <w:rPr>
          <w:rFonts w:ascii="Montserrat" w:hAnsi="Montserrat"/>
          <w:sz w:val="22"/>
          <w:szCs w:val="22"/>
        </w:rPr>
        <w:t>Injury / Ongoing Illness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4"/>
        <w:gridCol w:w="5084"/>
      </w:tblGrid>
      <w:tr w:rsidR="00020B77" w:rsidRPr="00020B77" w14:paraId="39F0FB14" w14:textId="77777777" w:rsidTr="00DE581B">
        <w:trPr>
          <w:trHeight w:val="272"/>
        </w:trPr>
        <w:tc>
          <w:tcPr>
            <w:tcW w:w="5084" w:type="dxa"/>
          </w:tcPr>
          <w:p w14:paraId="3C5E5EA4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Condition / Example</w:t>
            </w:r>
          </w:p>
        </w:tc>
        <w:tc>
          <w:tcPr>
            <w:tcW w:w="5084" w:type="dxa"/>
          </w:tcPr>
          <w:p w14:paraId="0B61972B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Classification</w:t>
            </w:r>
          </w:p>
        </w:tc>
      </w:tr>
      <w:tr w:rsidR="00020B77" w:rsidRPr="00020B77" w14:paraId="2397C6A8" w14:textId="77777777" w:rsidTr="00DE581B">
        <w:trPr>
          <w:trHeight w:val="535"/>
        </w:trPr>
        <w:tc>
          <w:tcPr>
            <w:tcW w:w="5084" w:type="dxa"/>
          </w:tcPr>
          <w:p w14:paraId="6CDCF96B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Rheumatoid Arthritis or ongoing illness flare-up – Breaks</w:t>
            </w:r>
          </w:p>
        </w:tc>
        <w:tc>
          <w:tcPr>
            <w:tcW w:w="5084" w:type="dxa"/>
          </w:tcPr>
          <w:p w14:paraId="74595ED3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5BDE1AA2" w14:textId="77777777" w:rsidTr="00DE581B">
        <w:trPr>
          <w:trHeight w:val="545"/>
        </w:trPr>
        <w:tc>
          <w:tcPr>
            <w:tcW w:w="5084" w:type="dxa"/>
          </w:tcPr>
          <w:p w14:paraId="10ACD434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Historic injuries – Examiner awareness only</w:t>
            </w:r>
          </w:p>
        </w:tc>
        <w:tc>
          <w:tcPr>
            <w:tcW w:w="5084" w:type="dxa"/>
          </w:tcPr>
          <w:p w14:paraId="51559912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Examiner Awareness</w:t>
            </w:r>
          </w:p>
        </w:tc>
      </w:tr>
      <w:tr w:rsidR="00020B77" w:rsidRPr="00020B77" w14:paraId="11B67853" w14:textId="77777777" w:rsidTr="00DE581B">
        <w:trPr>
          <w:trHeight w:val="545"/>
        </w:trPr>
        <w:tc>
          <w:tcPr>
            <w:tcW w:w="5084" w:type="dxa"/>
          </w:tcPr>
          <w:p w14:paraId="72B0A38C" w14:textId="65CB61CA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 xml:space="preserve">Older candidates (e.g. over 55) – May </w:t>
            </w:r>
            <w:r w:rsidR="0078403A">
              <w:rPr>
                <w:rFonts w:ascii="Montserrat" w:hAnsi="Montserrat"/>
              </w:rPr>
              <w:t>have</w:t>
            </w:r>
            <w:r w:rsidRPr="00020B77">
              <w:rPr>
                <w:rFonts w:ascii="Montserrat" w:hAnsi="Montserrat"/>
              </w:rPr>
              <w:t xml:space="preserve"> </w:t>
            </w:r>
            <w:r w:rsidR="00844054" w:rsidRPr="00844054">
              <w:rPr>
                <w:rFonts w:ascii="Montserrat" w:hAnsi="Montserrat"/>
              </w:rPr>
              <w:t>reduced mobility/movements</w:t>
            </w:r>
            <w:r w:rsidRPr="00020B77">
              <w:rPr>
                <w:rFonts w:ascii="Montserrat" w:hAnsi="Montserrat"/>
              </w:rPr>
              <w:t xml:space="preserve"> or use a chair</w:t>
            </w:r>
          </w:p>
        </w:tc>
        <w:tc>
          <w:tcPr>
            <w:tcW w:w="5084" w:type="dxa"/>
          </w:tcPr>
          <w:p w14:paraId="7D7F24DF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</w:tbl>
    <w:p w14:paraId="2032BEA1" w14:textId="1A133459" w:rsidR="00020B77" w:rsidRPr="00020B77" w:rsidRDefault="00020B77" w:rsidP="00020B77">
      <w:pPr>
        <w:pStyle w:val="Heading2"/>
        <w:rPr>
          <w:rFonts w:ascii="Montserrat" w:hAnsi="Montserrat"/>
          <w:sz w:val="22"/>
          <w:szCs w:val="22"/>
        </w:rPr>
      </w:pPr>
      <w:r w:rsidRPr="00020B77">
        <w:rPr>
          <w:rFonts w:ascii="Montserrat" w:hAnsi="Montserrat"/>
          <w:sz w:val="22"/>
          <w:szCs w:val="22"/>
        </w:rPr>
        <w:t>Mobility / Physical Access</w:t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020B77" w:rsidRPr="00020B77" w14:paraId="4F6035DB" w14:textId="77777777" w:rsidTr="00DE581B">
        <w:trPr>
          <w:trHeight w:val="268"/>
        </w:trPr>
        <w:tc>
          <w:tcPr>
            <w:tcW w:w="5104" w:type="dxa"/>
          </w:tcPr>
          <w:p w14:paraId="55C7DBFC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Condition / Example</w:t>
            </w:r>
          </w:p>
        </w:tc>
        <w:tc>
          <w:tcPr>
            <w:tcW w:w="5104" w:type="dxa"/>
          </w:tcPr>
          <w:p w14:paraId="6F4F46E8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Classification</w:t>
            </w:r>
          </w:p>
        </w:tc>
      </w:tr>
      <w:tr w:rsidR="00020B77" w:rsidRPr="00020B77" w14:paraId="0B1D3126" w14:textId="77777777" w:rsidTr="00DE581B">
        <w:trPr>
          <w:trHeight w:val="527"/>
        </w:trPr>
        <w:tc>
          <w:tcPr>
            <w:tcW w:w="5104" w:type="dxa"/>
          </w:tcPr>
          <w:p w14:paraId="38FEEAE6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Amputees – May require use of buddy or substitution of floor work</w:t>
            </w:r>
          </w:p>
        </w:tc>
        <w:tc>
          <w:tcPr>
            <w:tcW w:w="5104" w:type="dxa"/>
          </w:tcPr>
          <w:p w14:paraId="26865951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424E7D61" w14:textId="77777777" w:rsidTr="00DE581B">
        <w:trPr>
          <w:trHeight w:val="537"/>
        </w:trPr>
        <w:tc>
          <w:tcPr>
            <w:tcW w:w="5104" w:type="dxa"/>
          </w:tcPr>
          <w:p w14:paraId="79F34589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Skeletal dysplasia or prosthetic limb – Adjust barre height or floor work</w:t>
            </w:r>
          </w:p>
        </w:tc>
        <w:tc>
          <w:tcPr>
            <w:tcW w:w="5104" w:type="dxa"/>
          </w:tcPr>
          <w:p w14:paraId="04BF8498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0353DCD3" w14:textId="77777777" w:rsidTr="00DE581B">
        <w:trPr>
          <w:trHeight w:val="537"/>
        </w:trPr>
        <w:tc>
          <w:tcPr>
            <w:tcW w:w="5104" w:type="dxa"/>
          </w:tcPr>
          <w:p w14:paraId="582CDAFD" w14:textId="6D2BA5DC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Candidate with a limb in cast – May be eligible for Special Consideration</w:t>
            </w:r>
          </w:p>
        </w:tc>
        <w:tc>
          <w:tcPr>
            <w:tcW w:w="5104" w:type="dxa"/>
          </w:tcPr>
          <w:p w14:paraId="4BD9F334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Examiner Awareness</w:t>
            </w:r>
          </w:p>
        </w:tc>
      </w:tr>
    </w:tbl>
    <w:p w14:paraId="434B3057" w14:textId="5D162F8D" w:rsidR="00020B77" w:rsidRPr="00020B77" w:rsidRDefault="00020B77" w:rsidP="00020B77">
      <w:pPr>
        <w:pStyle w:val="Heading2"/>
        <w:rPr>
          <w:rFonts w:ascii="Montserrat" w:hAnsi="Montserrat"/>
          <w:sz w:val="22"/>
          <w:szCs w:val="22"/>
        </w:rPr>
      </w:pPr>
      <w:r w:rsidRPr="00020B77">
        <w:rPr>
          <w:rFonts w:ascii="Montserrat" w:hAnsi="Montserrat"/>
          <w:sz w:val="22"/>
          <w:szCs w:val="22"/>
        </w:rPr>
        <w:t>Communication / Sensory Differences</w:t>
      </w:r>
    </w:p>
    <w:tbl>
      <w:tblPr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9"/>
        <w:gridCol w:w="5109"/>
      </w:tblGrid>
      <w:tr w:rsidR="00020B77" w:rsidRPr="00020B77" w14:paraId="54FB0D3B" w14:textId="77777777" w:rsidTr="00DE581B">
        <w:trPr>
          <w:trHeight w:val="271"/>
        </w:trPr>
        <w:tc>
          <w:tcPr>
            <w:tcW w:w="5109" w:type="dxa"/>
          </w:tcPr>
          <w:p w14:paraId="368A6176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Condition / Example</w:t>
            </w:r>
          </w:p>
        </w:tc>
        <w:tc>
          <w:tcPr>
            <w:tcW w:w="5109" w:type="dxa"/>
          </w:tcPr>
          <w:p w14:paraId="75C9ACE7" w14:textId="77777777" w:rsidR="00020B77" w:rsidRPr="00020B77" w:rsidRDefault="00020B77" w:rsidP="004C4F51">
            <w:pPr>
              <w:jc w:val="center"/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Classification</w:t>
            </w:r>
          </w:p>
        </w:tc>
      </w:tr>
      <w:tr w:rsidR="00020B77" w:rsidRPr="00020B77" w14:paraId="5E0A7D38" w14:textId="77777777" w:rsidTr="00DE581B">
        <w:trPr>
          <w:trHeight w:val="532"/>
        </w:trPr>
        <w:tc>
          <w:tcPr>
            <w:tcW w:w="5109" w:type="dxa"/>
          </w:tcPr>
          <w:p w14:paraId="3E377F41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Sight impaired – May require buddy or attendant</w:t>
            </w:r>
          </w:p>
        </w:tc>
        <w:tc>
          <w:tcPr>
            <w:tcW w:w="5109" w:type="dxa"/>
          </w:tcPr>
          <w:p w14:paraId="7219ACE3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48685781" w14:textId="77777777" w:rsidTr="00DE581B">
        <w:trPr>
          <w:trHeight w:val="542"/>
        </w:trPr>
        <w:tc>
          <w:tcPr>
            <w:tcW w:w="5109" w:type="dxa"/>
          </w:tcPr>
          <w:p w14:paraId="5372B7D1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Hearing issues – Examiner may need to speak clearly for lip reading</w:t>
            </w:r>
          </w:p>
        </w:tc>
        <w:tc>
          <w:tcPr>
            <w:tcW w:w="5109" w:type="dxa"/>
          </w:tcPr>
          <w:p w14:paraId="7302AB08" w14:textId="37980BD3" w:rsidR="00020B77" w:rsidRPr="00020B77" w:rsidRDefault="00892FAE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Reasonable Adjustment</w:t>
            </w:r>
          </w:p>
        </w:tc>
      </w:tr>
      <w:tr w:rsidR="00020B77" w:rsidRPr="00020B77" w14:paraId="192DAEA4" w14:textId="77777777" w:rsidTr="00DE581B">
        <w:trPr>
          <w:trHeight w:val="542"/>
        </w:trPr>
        <w:tc>
          <w:tcPr>
            <w:tcW w:w="5109" w:type="dxa"/>
          </w:tcPr>
          <w:p w14:paraId="65F1C49B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Nonverbal – Another candidate may confirm their name</w:t>
            </w:r>
          </w:p>
        </w:tc>
        <w:tc>
          <w:tcPr>
            <w:tcW w:w="5109" w:type="dxa"/>
          </w:tcPr>
          <w:p w14:paraId="071058DC" w14:textId="77777777" w:rsidR="00020B77" w:rsidRPr="00020B77" w:rsidRDefault="00020B77" w:rsidP="00E433B5">
            <w:pPr>
              <w:rPr>
                <w:rFonts w:ascii="Montserrat" w:hAnsi="Montserrat"/>
              </w:rPr>
            </w:pPr>
            <w:r w:rsidRPr="00020B77">
              <w:rPr>
                <w:rFonts w:ascii="Montserrat" w:hAnsi="Montserrat"/>
              </w:rPr>
              <w:t>Examiner Awareness</w:t>
            </w:r>
          </w:p>
        </w:tc>
      </w:tr>
    </w:tbl>
    <w:p w14:paraId="281ADCBE" w14:textId="77777777" w:rsidR="00020B77" w:rsidRPr="00020B77" w:rsidRDefault="00020B77" w:rsidP="007B5D98">
      <w:pPr>
        <w:shd w:val="clear" w:color="auto" w:fill="FFFFFF"/>
        <w:tabs>
          <w:tab w:val="left" w:pos="3872"/>
          <w:tab w:val="right" w:pos="9026"/>
        </w:tabs>
        <w:spacing w:before="300" w:after="150"/>
        <w:outlineLvl w:val="2"/>
        <w:rPr>
          <w:rFonts w:ascii="Montserrat" w:hAnsi="Montserrat"/>
        </w:rPr>
      </w:pPr>
    </w:p>
    <w:sectPr w:rsidR="00020B77" w:rsidRPr="00020B77" w:rsidSect="000376D4">
      <w:type w:val="continuous"/>
      <w:pgSz w:w="11906" w:h="16838"/>
      <w:pgMar w:top="1134" w:right="851" w:bottom="851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62C6" w14:textId="77777777" w:rsidR="00EF16FC" w:rsidRDefault="00EF16FC" w:rsidP="0091129C">
      <w:r>
        <w:separator/>
      </w:r>
    </w:p>
  </w:endnote>
  <w:endnote w:type="continuationSeparator" w:id="0">
    <w:p w14:paraId="714DB648" w14:textId="77777777" w:rsidR="00EF16FC" w:rsidRDefault="00EF16FC" w:rsidP="0091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D Sans Book">
    <w:altName w:val="Calibri"/>
    <w:panose1 w:val="00000000000000000000"/>
    <w:charset w:val="00"/>
    <w:family w:val="modern"/>
    <w:notTrueType/>
    <w:pitch w:val="variable"/>
    <w:sig w:usb0="A00000AF" w:usb1="0000207A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163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945C01" w14:textId="4FD0FD2E" w:rsidR="00FC45FD" w:rsidRDefault="00FC45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C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F5BA10" w14:textId="3BB22DD0" w:rsidR="00AF0195" w:rsidRPr="00D661D4" w:rsidRDefault="00AF0195" w:rsidP="00D661D4">
    <w:pPr>
      <w:pStyle w:val="Footer"/>
      <w:jc w:val="center"/>
      <w:rPr>
        <w:rFonts w:ascii="RAD Sans Book" w:hAnsi="RAD Sans Book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97CF" w14:textId="779DF6AC" w:rsidR="00AF0195" w:rsidRPr="00B55DB9" w:rsidRDefault="00B55DB9" w:rsidP="006B71A4">
    <w:pPr>
      <w:pStyle w:val="Footer"/>
      <w:jc w:val="center"/>
      <w:rPr>
        <w:rFonts w:ascii="Montserrat" w:hAnsi="Montserrat"/>
        <w:color w:val="DE1919"/>
        <w:sz w:val="16"/>
        <w:szCs w:val="16"/>
      </w:rPr>
    </w:pPr>
    <w:r w:rsidRPr="00B55DB9">
      <w:rPr>
        <w:rFonts w:ascii="Montserrat" w:hAnsi="Montserrat"/>
        <w:color w:val="DE1919"/>
        <w:sz w:val="16"/>
        <w:szCs w:val="16"/>
      </w:rPr>
      <w:t>Royal Academy of Dance is a charity registered in England and Wales No. 312826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1D8E5" w14:textId="77777777" w:rsidR="00EF16FC" w:rsidRDefault="00EF16FC" w:rsidP="0091129C">
      <w:r>
        <w:separator/>
      </w:r>
    </w:p>
  </w:footnote>
  <w:footnote w:type="continuationSeparator" w:id="0">
    <w:p w14:paraId="26DFD93C" w14:textId="77777777" w:rsidR="00EF16FC" w:rsidRDefault="00EF16FC" w:rsidP="0091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35DD" w14:textId="77777777" w:rsidR="00AF0195" w:rsidRDefault="00AF0195" w:rsidP="0091129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891B" w14:textId="77777777" w:rsidR="00AF0195" w:rsidRDefault="00AF0195" w:rsidP="000E5AD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EC7D930" wp14:editId="514E2799">
          <wp:simplePos x="0" y="0"/>
          <wp:positionH relativeFrom="margin">
            <wp:align>center</wp:align>
          </wp:positionH>
          <wp:positionV relativeFrom="paragraph">
            <wp:posOffset>-301571</wp:posOffset>
          </wp:positionV>
          <wp:extent cx="3550596" cy="1175853"/>
          <wp:effectExtent l="0" t="0" r="0" b="0"/>
          <wp:wrapNone/>
          <wp:docPr id="314221057" name="Picture 314221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0596" cy="11758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0CC4B" w14:textId="77777777" w:rsidR="00AF0195" w:rsidRDefault="00AF0195" w:rsidP="0091129C">
    <w:pPr>
      <w:pStyle w:val="Header"/>
    </w:pPr>
  </w:p>
  <w:p w14:paraId="0C8A19EA" w14:textId="77777777" w:rsidR="00AF0195" w:rsidRDefault="00AF0195" w:rsidP="0091129C">
    <w:pPr>
      <w:pStyle w:val="Header"/>
    </w:pPr>
  </w:p>
  <w:p w14:paraId="2910D01F" w14:textId="77777777" w:rsidR="00AF0195" w:rsidRDefault="00AF0195" w:rsidP="0091129C">
    <w:pPr>
      <w:pStyle w:val="Header"/>
    </w:pPr>
  </w:p>
  <w:p w14:paraId="050CEBE3" w14:textId="77777777" w:rsidR="00AF0195" w:rsidRDefault="00AF0195" w:rsidP="0091129C">
    <w:pPr>
      <w:pStyle w:val="Header"/>
    </w:pPr>
  </w:p>
  <w:p w14:paraId="5BC226E6" w14:textId="77777777" w:rsidR="00AF0195" w:rsidRDefault="00AF0195" w:rsidP="00911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C72"/>
    <w:multiLevelType w:val="multilevel"/>
    <w:tmpl w:val="5D5E31D6"/>
    <w:lvl w:ilvl="0">
      <w:start w:val="10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396883"/>
    <w:multiLevelType w:val="hybridMultilevel"/>
    <w:tmpl w:val="61CC6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4D2A"/>
    <w:multiLevelType w:val="multilevel"/>
    <w:tmpl w:val="F84C4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7560E4"/>
    <w:multiLevelType w:val="multilevel"/>
    <w:tmpl w:val="CC28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B65C0F"/>
    <w:multiLevelType w:val="multilevel"/>
    <w:tmpl w:val="103E674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28BC79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263BA"/>
    <w:multiLevelType w:val="hybridMultilevel"/>
    <w:tmpl w:val="62D26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979EE"/>
    <w:multiLevelType w:val="hybridMultilevel"/>
    <w:tmpl w:val="3CDAF25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09C7F15"/>
    <w:multiLevelType w:val="multilevel"/>
    <w:tmpl w:val="AB3A6C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6E034B"/>
    <w:multiLevelType w:val="hybridMultilevel"/>
    <w:tmpl w:val="F3F481EE"/>
    <w:lvl w:ilvl="0" w:tplc="08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1727D3F"/>
    <w:multiLevelType w:val="hybridMultilevel"/>
    <w:tmpl w:val="61242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03FE2"/>
    <w:multiLevelType w:val="hybridMultilevel"/>
    <w:tmpl w:val="2AFC5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00524"/>
    <w:multiLevelType w:val="hybridMultilevel"/>
    <w:tmpl w:val="D1EE5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B7177A"/>
    <w:multiLevelType w:val="hybridMultilevel"/>
    <w:tmpl w:val="AEC8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D5465"/>
    <w:multiLevelType w:val="hybridMultilevel"/>
    <w:tmpl w:val="DA2EC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02163"/>
    <w:multiLevelType w:val="hybridMultilevel"/>
    <w:tmpl w:val="31A61A8E"/>
    <w:lvl w:ilvl="0" w:tplc="1D2EB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22FA6"/>
    <w:multiLevelType w:val="hybridMultilevel"/>
    <w:tmpl w:val="6CD6E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66F9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9C260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875A7A"/>
    <w:multiLevelType w:val="hybridMultilevel"/>
    <w:tmpl w:val="8752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A43C8"/>
    <w:multiLevelType w:val="hybridMultilevel"/>
    <w:tmpl w:val="901ADFF0"/>
    <w:lvl w:ilvl="0" w:tplc="AE8CD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677AB"/>
    <w:multiLevelType w:val="hybridMultilevel"/>
    <w:tmpl w:val="4DF6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D1591"/>
    <w:multiLevelType w:val="multilevel"/>
    <w:tmpl w:val="19203BF8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num w:numId="1" w16cid:durableId="1937056344">
    <w:abstractNumId w:val="10"/>
  </w:num>
  <w:num w:numId="2" w16cid:durableId="955983673">
    <w:abstractNumId w:val="12"/>
  </w:num>
  <w:num w:numId="3" w16cid:durableId="197594688">
    <w:abstractNumId w:val="21"/>
  </w:num>
  <w:num w:numId="4" w16cid:durableId="877592718">
    <w:abstractNumId w:val="13"/>
  </w:num>
  <w:num w:numId="5" w16cid:durableId="1586920538">
    <w:abstractNumId w:val="19"/>
  </w:num>
  <w:num w:numId="6" w16cid:durableId="1331370425">
    <w:abstractNumId w:val="20"/>
  </w:num>
  <w:num w:numId="7" w16cid:durableId="235676404">
    <w:abstractNumId w:val="14"/>
  </w:num>
  <w:num w:numId="8" w16cid:durableId="1070811683">
    <w:abstractNumId w:val="1"/>
  </w:num>
  <w:num w:numId="9" w16cid:durableId="1012027454">
    <w:abstractNumId w:val="2"/>
  </w:num>
  <w:num w:numId="10" w16cid:durableId="45376731">
    <w:abstractNumId w:val="15"/>
  </w:num>
  <w:num w:numId="11" w16cid:durableId="677192524">
    <w:abstractNumId w:val="7"/>
  </w:num>
  <w:num w:numId="12" w16cid:durableId="102043515">
    <w:abstractNumId w:val="9"/>
  </w:num>
  <w:num w:numId="13" w16cid:durableId="6279053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01221945">
    <w:abstractNumId w:val="16"/>
  </w:num>
  <w:num w:numId="15" w16cid:durableId="10811715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2405343">
    <w:abstractNumId w:val="8"/>
  </w:num>
  <w:num w:numId="17" w16cid:durableId="462699792">
    <w:abstractNumId w:val="5"/>
  </w:num>
  <w:num w:numId="18" w16cid:durableId="1618678142">
    <w:abstractNumId w:val="22"/>
  </w:num>
  <w:num w:numId="19" w16cid:durableId="1094401655">
    <w:abstractNumId w:val="17"/>
  </w:num>
  <w:num w:numId="20" w16cid:durableId="1105031008">
    <w:abstractNumId w:val="6"/>
  </w:num>
  <w:num w:numId="21" w16cid:durableId="323748617">
    <w:abstractNumId w:val="4"/>
  </w:num>
  <w:num w:numId="22" w16cid:durableId="479807851">
    <w:abstractNumId w:val="18"/>
  </w:num>
  <w:num w:numId="23" w16cid:durableId="1827546186">
    <w:abstractNumId w:val="0"/>
  </w:num>
  <w:num w:numId="24" w16cid:durableId="5198593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58"/>
    <w:rsid w:val="00010B25"/>
    <w:rsid w:val="00011147"/>
    <w:rsid w:val="00016D86"/>
    <w:rsid w:val="00020B77"/>
    <w:rsid w:val="00020F8C"/>
    <w:rsid w:val="00024937"/>
    <w:rsid w:val="000644E4"/>
    <w:rsid w:val="00064CD9"/>
    <w:rsid w:val="000B73A0"/>
    <w:rsid w:val="000E5AD2"/>
    <w:rsid w:val="0010678E"/>
    <w:rsid w:val="0010711F"/>
    <w:rsid w:val="00107CEA"/>
    <w:rsid w:val="001240B6"/>
    <w:rsid w:val="00184D24"/>
    <w:rsid w:val="001A2D0B"/>
    <w:rsid w:val="001D7688"/>
    <w:rsid w:val="001E3801"/>
    <w:rsid w:val="001E6272"/>
    <w:rsid w:val="00212EE4"/>
    <w:rsid w:val="002212DB"/>
    <w:rsid w:val="00267E6A"/>
    <w:rsid w:val="002A1B16"/>
    <w:rsid w:val="002A466C"/>
    <w:rsid w:val="00315858"/>
    <w:rsid w:val="00325B39"/>
    <w:rsid w:val="00386358"/>
    <w:rsid w:val="003B3999"/>
    <w:rsid w:val="003B5C3D"/>
    <w:rsid w:val="003B71F7"/>
    <w:rsid w:val="003C2513"/>
    <w:rsid w:val="003C2CB0"/>
    <w:rsid w:val="003C7266"/>
    <w:rsid w:val="003D52A8"/>
    <w:rsid w:val="0040126E"/>
    <w:rsid w:val="00422965"/>
    <w:rsid w:val="00465E7E"/>
    <w:rsid w:val="004A11BA"/>
    <w:rsid w:val="004A6AEC"/>
    <w:rsid w:val="004C4F51"/>
    <w:rsid w:val="004D4F0D"/>
    <w:rsid w:val="004D69EC"/>
    <w:rsid w:val="004E1120"/>
    <w:rsid w:val="005004DE"/>
    <w:rsid w:val="00515D4C"/>
    <w:rsid w:val="005250BE"/>
    <w:rsid w:val="005323B3"/>
    <w:rsid w:val="00557919"/>
    <w:rsid w:val="00560AA0"/>
    <w:rsid w:val="005B5D50"/>
    <w:rsid w:val="005E19AE"/>
    <w:rsid w:val="005E243A"/>
    <w:rsid w:val="005E7969"/>
    <w:rsid w:val="00635549"/>
    <w:rsid w:val="00665BB5"/>
    <w:rsid w:val="00690EC1"/>
    <w:rsid w:val="00692100"/>
    <w:rsid w:val="006B71A4"/>
    <w:rsid w:val="006C3D98"/>
    <w:rsid w:val="006F707B"/>
    <w:rsid w:val="00711AF2"/>
    <w:rsid w:val="0072734A"/>
    <w:rsid w:val="00733C14"/>
    <w:rsid w:val="00734169"/>
    <w:rsid w:val="0073622B"/>
    <w:rsid w:val="00764528"/>
    <w:rsid w:val="007662E3"/>
    <w:rsid w:val="00772582"/>
    <w:rsid w:val="0078403A"/>
    <w:rsid w:val="00784A37"/>
    <w:rsid w:val="00793E15"/>
    <w:rsid w:val="007B5107"/>
    <w:rsid w:val="007B5D98"/>
    <w:rsid w:val="007C00CF"/>
    <w:rsid w:val="007F181C"/>
    <w:rsid w:val="00841FE5"/>
    <w:rsid w:val="00844054"/>
    <w:rsid w:val="00871B44"/>
    <w:rsid w:val="008838DE"/>
    <w:rsid w:val="00892FAE"/>
    <w:rsid w:val="008B3570"/>
    <w:rsid w:val="0091129C"/>
    <w:rsid w:val="00927381"/>
    <w:rsid w:val="00933988"/>
    <w:rsid w:val="00945616"/>
    <w:rsid w:val="00951DAE"/>
    <w:rsid w:val="00962640"/>
    <w:rsid w:val="009826BA"/>
    <w:rsid w:val="00982D91"/>
    <w:rsid w:val="00993BE4"/>
    <w:rsid w:val="009A0BCB"/>
    <w:rsid w:val="009E7BA6"/>
    <w:rsid w:val="009F4A58"/>
    <w:rsid w:val="00A27E90"/>
    <w:rsid w:val="00A33C55"/>
    <w:rsid w:val="00AA547E"/>
    <w:rsid w:val="00AF0195"/>
    <w:rsid w:val="00B12410"/>
    <w:rsid w:val="00B55DB9"/>
    <w:rsid w:val="00B70C6E"/>
    <w:rsid w:val="00B73105"/>
    <w:rsid w:val="00B8575E"/>
    <w:rsid w:val="00BE6FB0"/>
    <w:rsid w:val="00BF1AFC"/>
    <w:rsid w:val="00C11A9A"/>
    <w:rsid w:val="00C122B6"/>
    <w:rsid w:val="00C143AB"/>
    <w:rsid w:val="00C320B7"/>
    <w:rsid w:val="00C45D55"/>
    <w:rsid w:val="00C46DDC"/>
    <w:rsid w:val="00C73110"/>
    <w:rsid w:val="00C92B98"/>
    <w:rsid w:val="00CA7D9E"/>
    <w:rsid w:val="00CB7A46"/>
    <w:rsid w:val="00CF2C61"/>
    <w:rsid w:val="00D448AE"/>
    <w:rsid w:val="00D64EA6"/>
    <w:rsid w:val="00D661D4"/>
    <w:rsid w:val="00D97713"/>
    <w:rsid w:val="00DA0983"/>
    <w:rsid w:val="00DB69D1"/>
    <w:rsid w:val="00DE581B"/>
    <w:rsid w:val="00DF193B"/>
    <w:rsid w:val="00DF4449"/>
    <w:rsid w:val="00E03C36"/>
    <w:rsid w:val="00E13D53"/>
    <w:rsid w:val="00E21543"/>
    <w:rsid w:val="00E2249F"/>
    <w:rsid w:val="00E31779"/>
    <w:rsid w:val="00E40A2F"/>
    <w:rsid w:val="00E40D79"/>
    <w:rsid w:val="00E4334A"/>
    <w:rsid w:val="00E64E1C"/>
    <w:rsid w:val="00E74366"/>
    <w:rsid w:val="00EA5211"/>
    <w:rsid w:val="00EF16FC"/>
    <w:rsid w:val="00EF4039"/>
    <w:rsid w:val="00EF560A"/>
    <w:rsid w:val="00F16CC8"/>
    <w:rsid w:val="00F226DB"/>
    <w:rsid w:val="00F312B2"/>
    <w:rsid w:val="00F41A82"/>
    <w:rsid w:val="00F50ED2"/>
    <w:rsid w:val="00FB0D36"/>
    <w:rsid w:val="00FC45FD"/>
    <w:rsid w:val="00FF7E7B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ABCED"/>
  <w15:chartTrackingRefBased/>
  <w15:docId w15:val="{F793CCE4-1988-4CE8-BBA4-722FD349D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39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E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F1AFC"/>
    <w:pPr>
      <w:keepNext/>
      <w:spacing w:before="240" w:after="60"/>
      <w:outlineLvl w:val="1"/>
    </w:pPr>
    <w:rPr>
      <w:rFonts w:ascii="Gill Sans MT" w:eastAsia="Times New Roman" w:hAnsi="Gill Sans MT" w:cs="Arial"/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2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29C"/>
  </w:style>
  <w:style w:type="paragraph" w:styleId="Footer">
    <w:name w:val="footer"/>
    <w:basedOn w:val="Normal"/>
    <w:link w:val="FooterChar"/>
    <w:uiPriority w:val="99"/>
    <w:unhideWhenUsed/>
    <w:rsid w:val="009112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29C"/>
  </w:style>
  <w:style w:type="paragraph" w:customStyle="1" w:styleId="BasicParagraph">
    <w:name w:val="[Basic Paragraph]"/>
    <w:basedOn w:val="Normal"/>
    <w:uiPriority w:val="99"/>
    <w:rsid w:val="0091129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Default">
    <w:name w:val="Default"/>
    <w:rsid w:val="00184D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84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FE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841F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WebChar">
    <w:name w:val="Normal (Web) Char"/>
    <w:basedOn w:val="DefaultParagraphFont"/>
    <w:link w:val="NormalWeb"/>
    <w:uiPriority w:val="99"/>
    <w:rsid w:val="00841FE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BF1AFC"/>
    <w:rPr>
      <w:rFonts w:ascii="Gill Sans MT" w:eastAsia="Times New Roman" w:hAnsi="Gill Sans MT" w:cs="Arial"/>
      <w:b/>
      <w:bCs/>
      <w:iCs/>
      <w:sz w:val="28"/>
      <w:szCs w:val="28"/>
    </w:rPr>
  </w:style>
  <w:style w:type="paragraph" w:styleId="NoSpacing">
    <w:name w:val="No Spacing"/>
    <w:uiPriority w:val="1"/>
    <w:qFormat/>
    <w:rsid w:val="00BF1AF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64EA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7E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267E6A"/>
    <w:rPr>
      <w:i/>
      <w:iCs/>
    </w:rPr>
  </w:style>
  <w:style w:type="character" w:styleId="Strong">
    <w:name w:val="Strong"/>
    <w:basedOn w:val="DefaultParagraphFont"/>
    <w:uiPriority w:val="22"/>
    <w:qFormat/>
    <w:rsid w:val="00267E6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6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243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79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919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919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3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www.royalacademyofdance.org/wp-content/uploads/2025/10/Reasonable-Adjustments-Policy.pdf" TargetMode="Externa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xamscustomerservices@rad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6D8AA77C37F44999B0F9954FC0B28" ma:contentTypeVersion="15" ma:contentTypeDescription="Create a new document." ma:contentTypeScope="" ma:versionID="f5e4618471cfd6649c4dc13c8539f812">
  <xsd:schema xmlns:xsd="http://www.w3.org/2001/XMLSchema" xmlns:xs="http://www.w3.org/2001/XMLSchema" xmlns:p="http://schemas.microsoft.com/office/2006/metadata/properties" xmlns:ns2="940da76c-a207-46be-9353-43991c7f89d5" xmlns:ns3="7abf1c17-c130-446e-94d9-037462cb6fff" targetNamespace="http://schemas.microsoft.com/office/2006/metadata/properties" ma:root="true" ma:fieldsID="06a798511f930773316d949314834f7d" ns2:_="" ns3:_="">
    <xsd:import namespace="940da76c-a207-46be-9353-43991c7f89d5"/>
    <xsd:import namespace="7abf1c17-c130-446e-94d9-037462cb6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a76c-a207-46be-9353-43991c7f8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0a8e721-256d-43e3-8d95-d7ad30c05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f1c17-c130-446e-94d9-037462cb6f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3127ba-c328-4ef8-9906-6e8f6c56cd9f}" ma:internalName="TaxCatchAll" ma:showField="CatchAllData" ma:web="7abf1c17-c130-446e-94d9-037462cb6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da76c-a207-46be-9353-43991c7f89d5">
      <Terms xmlns="http://schemas.microsoft.com/office/infopath/2007/PartnerControls"/>
    </lcf76f155ced4ddcb4097134ff3c332f>
    <TaxCatchAll xmlns="7abf1c17-c130-446e-94d9-037462cb6fff" xsi:nil="true"/>
  </documentManagement>
</p:properties>
</file>

<file path=customXml/itemProps1.xml><?xml version="1.0" encoding="utf-8"?>
<ds:datastoreItem xmlns:ds="http://schemas.openxmlformats.org/officeDocument/2006/customXml" ds:itemID="{53B01A94-B251-46B7-A328-499FB6CA3C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EC922-D12E-44B6-BC30-EAECB5336CD0}"/>
</file>

<file path=customXml/itemProps3.xml><?xml version="1.0" encoding="utf-8"?>
<ds:datastoreItem xmlns:ds="http://schemas.openxmlformats.org/officeDocument/2006/customXml" ds:itemID="{58B8AFFC-4745-4837-B4EB-DE62C55F502B}">
  <ds:schemaRefs>
    <ds:schemaRef ds:uri="http://schemas.microsoft.com/office/2006/metadata/properties"/>
    <ds:schemaRef ds:uri="http://schemas.microsoft.com/office/infopath/2007/PartnerControls"/>
    <ds:schemaRef ds:uri="940da76c-a207-46be-9353-43991c7f89d5"/>
    <ds:schemaRef ds:uri="7abf1c17-c130-446e-94d9-037462cb6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463</Words>
  <Characters>2907</Characters>
  <Application>Microsoft Office Word</Application>
  <DocSecurity>0</DocSecurity>
  <Lines>100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Academy of Dance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Nandita Dutta</dc:creator>
  <cp:keywords/>
  <dc:description/>
  <cp:lastModifiedBy>Dan Phelps</cp:lastModifiedBy>
  <cp:revision>47</cp:revision>
  <cp:lastPrinted>2022-09-12T16:24:00Z</cp:lastPrinted>
  <dcterms:created xsi:type="dcterms:W3CDTF">2025-08-14T14:44:00Z</dcterms:created>
  <dcterms:modified xsi:type="dcterms:W3CDTF">2025-10-29T10:41:00Z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0x0101000E46D8AA77C37F44999B0F9954FC0B28</vt:lpwstr>
  </property>
  <property fmtid="{D5CDD505-2E9C-101B-9397-08002B2CF9AE}" pid="3" name="Order">
    <vt:r8>51400</vt:r8>
  </property>
  <property fmtid="{D5CDD505-2E9C-101B-9397-08002B2CF9AE}" pid="4" name="MediaServiceImageTags">
    <vt:lpwstr/>
  </property>
</Properties>
</file>